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DB" w:rsidRPr="00D107F9" w:rsidRDefault="00DC5C4E" w:rsidP="00A23390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C8035B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 w:rsidR="008B22AB">
        <w:rPr>
          <w:rFonts w:ascii="Palatino Linotype" w:hAnsi="Palatino Linotype" w:cs="Arial"/>
          <w:b/>
        </w:rPr>
        <w:t>O DE MÉXICO Y MUNICIPIOS, EN LA</w:t>
      </w:r>
      <w:r w:rsidR="005779CE">
        <w:rPr>
          <w:rFonts w:ascii="Palatino Linotype" w:hAnsi="Palatino Linotype" w:cs="Arial"/>
          <w:b/>
        </w:rPr>
        <w:t xml:space="preserve"> </w:t>
      </w:r>
      <w:r w:rsidR="00990133">
        <w:rPr>
          <w:rFonts w:ascii="Palatino Linotype" w:hAnsi="Palatino Linotype" w:cs="Arial"/>
          <w:b/>
        </w:rPr>
        <w:t>CUADRAGÉSIMA</w:t>
      </w:r>
      <w:r w:rsidR="00C8035B" w:rsidRPr="00C8035B">
        <w:rPr>
          <w:rFonts w:ascii="Palatino Linotype" w:hAnsi="Palatino Linotype" w:cs="Arial"/>
          <w:b/>
        </w:rPr>
        <w:t xml:space="preserve"> </w:t>
      </w:r>
      <w:r w:rsidRPr="00C8035B">
        <w:rPr>
          <w:rFonts w:ascii="Palatino Linotype" w:hAnsi="Palatino Linotype" w:cs="Arial"/>
          <w:b/>
        </w:rPr>
        <w:t xml:space="preserve">SESIÓN ORDINARIA DE </w:t>
      </w:r>
      <w:r w:rsidR="00990133">
        <w:rPr>
          <w:rFonts w:ascii="Palatino Linotype" w:hAnsi="Palatino Linotype" w:cs="Arial"/>
          <w:b/>
        </w:rPr>
        <w:t>TREINTA Y UNO DE OCTUBRE</w:t>
      </w:r>
      <w:r w:rsidR="00174F2A" w:rsidRPr="00C8035B">
        <w:rPr>
          <w:rFonts w:ascii="Palatino Linotype" w:hAnsi="Palatino Linotype" w:cs="Arial"/>
          <w:b/>
        </w:rPr>
        <w:t xml:space="preserve"> </w:t>
      </w:r>
      <w:r w:rsidR="008B22AB">
        <w:rPr>
          <w:rFonts w:ascii="Palatino Linotype" w:hAnsi="Palatino Linotype" w:cs="Arial"/>
          <w:b/>
        </w:rPr>
        <w:t>DE DOS MIL DIECIOCHO</w:t>
      </w:r>
      <w:r w:rsidRPr="00C8035B">
        <w:rPr>
          <w:rFonts w:ascii="Palatino Linotype" w:hAnsi="Palatino Linotype" w:cs="Arial"/>
          <w:b/>
        </w:rPr>
        <w:t>, EN EL RECURSO DE REVISIÓN 0</w:t>
      </w:r>
      <w:r w:rsidR="00990133">
        <w:rPr>
          <w:rFonts w:ascii="Palatino Linotype" w:hAnsi="Palatino Linotype" w:cs="Arial"/>
          <w:b/>
        </w:rPr>
        <w:t>3318</w:t>
      </w:r>
      <w:r w:rsidR="005779CE">
        <w:rPr>
          <w:rFonts w:ascii="Palatino Linotype" w:hAnsi="Palatino Linotype" w:cs="Arial"/>
          <w:b/>
        </w:rPr>
        <w:t>/INFOEM/IP/RR/2018</w:t>
      </w:r>
      <w:r w:rsidRPr="00C8035B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</w:rPr>
        <w:t>Con fundamento en lo dispuesto por el artículo 14</w:t>
      </w:r>
      <w:r w:rsidR="00AE2899">
        <w:rPr>
          <w:rFonts w:ascii="Palatino Linotype" w:hAnsi="Palatino Linotype" w:cs="Arial"/>
        </w:rPr>
        <w:t>,</w:t>
      </w:r>
      <w:r w:rsidRPr="00C8035B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C8035B">
        <w:rPr>
          <w:rFonts w:ascii="Palatino Linotype" w:hAnsi="Palatino Linotype" w:cs="Arial"/>
          <w:b/>
          <w:lang w:val="es-ES_tradnl"/>
        </w:rPr>
        <w:t xml:space="preserve"> </w:t>
      </w:r>
      <w:r w:rsidRPr="00C8035B">
        <w:rPr>
          <w:rFonts w:ascii="Palatino Linotype" w:hAnsi="Palatino Linotype" w:cs="Arial"/>
          <w:b/>
        </w:rPr>
        <w:t xml:space="preserve">EVA ABAID YAPUR </w:t>
      </w:r>
      <w:r w:rsidRPr="00C8035B">
        <w:rPr>
          <w:rFonts w:ascii="Palatino Linotype" w:hAnsi="Palatino Linotype" w:cs="Arial"/>
        </w:rPr>
        <w:t xml:space="preserve">emite </w:t>
      </w:r>
      <w:r w:rsidRPr="00C8035B">
        <w:rPr>
          <w:rFonts w:ascii="Palatino Linotype" w:hAnsi="Palatino Linotype" w:cs="Arial"/>
          <w:b/>
        </w:rPr>
        <w:t xml:space="preserve">VOTO PARTICULAR </w:t>
      </w:r>
      <w:r w:rsidRPr="00C8035B">
        <w:rPr>
          <w:rFonts w:ascii="Palatino Linotype" w:hAnsi="Palatino Linotype" w:cs="Arial"/>
        </w:rPr>
        <w:t xml:space="preserve">respecto de la resolución dictada en el recurso de revisión </w:t>
      </w:r>
      <w:r w:rsidRPr="00C8035B">
        <w:rPr>
          <w:rFonts w:ascii="Palatino Linotype" w:eastAsia="Calibri" w:hAnsi="Palatino Linotype" w:cs="Arial"/>
          <w:b/>
          <w:color w:val="000000"/>
        </w:rPr>
        <w:t>0</w:t>
      </w:r>
      <w:r w:rsidR="00990133">
        <w:rPr>
          <w:rFonts w:ascii="Palatino Linotype" w:eastAsia="Calibri" w:hAnsi="Palatino Linotype" w:cs="Arial"/>
          <w:b/>
          <w:color w:val="000000"/>
        </w:rPr>
        <w:t>3318</w:t>
      </w:r>
      <w:r w:rsidR="005779CE">
        <w:rPr>
          <w:rFonts w:ascii="Palatino Linotype" w:eastAsia="Calibri" w:hAnsi="Palatino Linotype" w:cs="Arial"/>
          <w:b/>
          <w:color w:val="000000"/>
        </w:rPr>
        <w:t>/INFOEM/IP/RR/2018</w:t>
      </w:r>
      <w:r w:rsidRPr="00C8035B">
        <w:rPr>
          <w:rFonts w:ascii="Palatino Linotype" w:hAnsi="Palatino Linotype" w:cs="Arial"/>
        </w:rPr>
        <w:t>, pronunciada por el Pleno de este Instit</w:t>
      </w:r>
      <w:r w:rsidR="005779CE">
        <w:rPr>
          <w:rFonts w:ascii="Palatino Linotype" w:hAnsi="Palatino Linotype" w:cs="Arial"/>
        </w:rPr>
        <w:t xml:space="preserve">uto ante el proyecto presentado </w:t>
      </w:r>
      <w:r w:rsidRPr="00C8035B">
        <w:rPr>
          <w:rFonts w:ascii="Palatino Linotype" w:hAnsi="Palatino Linotype" w:cs="Arial"/>
        </w:rPr>
        <w:t xml:space="preserve">por el Comisionado </w:t>
      </w:r>
      <w:r w:rsidRPr="00C8035B">
        <w:rPr>
          <w:rFonts w:ascii="Palatino Linotype" w:hAnsi="Palatino Linotype" w:cs="Arial"/>
          <w:b/>
        </w:rPr>
        <w:t>JOSÉ GUADALUPE LUNA HERNÁNDEZ</w:t>
      </w:r>
      <w:r w:rsidR="008C77DB">
        <w:rPr>
          <w:rFonts w:ascii="Palatino Linotype" w:hAnsi="Palatino Linotype" w:cs="Arial"/>
        </w:rPr>
        <w:t>, que es del tenor siguiente.</w:t>
      </w:r>
    </w:p>
    <w:p w:rsidR="00DC5C4E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C8035B">
        <w:rPr>
          <w:rFonts w:ascii="Palatino Linotype" w:hAnsi="Palatino Linotype"/>
        </w:rPr>
        <w:t xml:space="preserve">Es de destacar, que la suscrita comparte esencialmente el estudio realizado en la resolución del recurso de revisión; empero, considero necesario precisar </w:t>
      </w:r>
      <w:r w:rsidR="00B31030">
        <w:rPr>
          <w:rFonts w:ascii="Palatino Linotype" w:hAnsi="Palatino Linotype"/>
        </w:rPr>
        <w:t>algunas cuestiones</w:t>
      </w:r>
      <w:r w:rsidRPr="00C8035B">
        <w:rPr>
          <w:rFonts w:ascii="Palatino Linotype" w:hAnsi="Palatino Linotype"/>
        </w:rPr>
        <w:t xml:space="preserve"> d</w:t>
      </w:r>
      <w:r w:rsidR="00734D98">
        <w:rPr>
          <w:rFonts w:ascii="Palatino Linotype" w:hAnsi="Palatino Linotype"/>
        </w:rPr>
        <w:t>e hecho y de derecho, tocante a</w:t>
      </w:r>
      <w:r w:rsidRPr="00C8035B">
        <w:rPr>
          <w:rFonts w:ascii="Palatino Linotype" w:hAnsi="Palatino Linotype"/>
        </w:rPr>
        <w:t xml:space="preserve"> </w:t>
      </w:r>
      <w:r w:rsidR="008C77DB">
        <w:rPr>
          <w:rFonts w:ascii="Palatino Linotype" w:hAnsi="Palatino Linotype"/>
        </w:rPr>
        <w:t xml:space="preserve">parte de lo que se ordena en la </w:t>
      </w:r>
      <w:r w:rsidRPr="00C8035B">
        <w:rPr>
          <w:rFonts w:ascii="Palatino Linotype" w:hAnsi="Palatino Linotype"/>
        </w:rPr>
        <w:t>resolución correspondiente.</w:t>
      </w:r>
    </w:p>
    <w:p w:rsid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C8035B">
        <w:rPr>
          <w:rFonts w:ascii="Palatino Linotype" w:hAnsi="Palatino Linotype"/>
        </w:rPr>
        <w:t>Al respecto, tal y como quedó debidamente asentado en la resoluci</w:t>
      </w:r>
      <w:r w:rsidR="00BE0D37">
        <w:rPr>
          <w:rFonts w:ascii="Palatino Linotype" w:hAnsi="Palatino Linotype"/>
        </w:rPr>
        <w:t>ón materia del presente voto, el</w:t>
      </w:r>
      <w:r w:rsidRPr="00C8035B">
        <w:rPr>
          <w:rFonts w:ascii="Palatino Linotype" w:hAnsi="Palatino Linotype"/>
        </w:rPr>
        <w:t xml:space="preserve"> particular </w:t>
      </w:r>
      <w:r w:rsidR="00B51260" w:rsidRPr="00C8035B">
        <w:rPr>
          <w:rFonts w:ascii="Palatino Linotype" w:hAnsi="Palatino Linotype"/>
        </w:rPr>
        <w:t xml:space="preserve">requirió </w:t>
      </w:r>
      <w:r w:rsidR="00990133" w:rsidRPr="008057A7">
        <w:rPr>
          <w:rFonts w:ascii="Palatino Linotype" w:hAnsi="Palatino Linotype" w:cs="Arial"/>
        </w:rPr>
        <w:t xml:space="preserve">del </w:t>
      </w:r>
      <w:r w:rsidR="00990133">
        <w:rPr>
          <w:rFonts w:ascii="Palatino Linotype" w:hAnsi="Palatino Linotype"/>
          <w:b/>
          <w:bCs/>
          <w:szCs w:val="22"/>
        </w:rPr>
        <w:t>Ayuntamiento de Tlalnepantla de Baz</w:t>
      </w:r>
      <w:r w:rsidR="00AE2899">
        <w:rPr>
          <w:rFonts w:ascii="Palatino Linotype" w:hAnsi="Palatino Linotype"/>
        </w:rPr>
        <w:t>,</w:t>
      </w:r>
      <w:r w:rsidR="00921F51">
        <w:rPr>
          <w:rFonts w:ascii="Palatino Linotype" w:hAnsi="Palatino Linotype"/>
        </w:rPr>
        <w:t xml:space="preserve"> en lo subsecuente</w:t>
      </w:r>
      <w:r w:rsidR="00017A8B" w:rsidRPr="00C8035B">
        <w:rPr>
          <w:rFonts w:ascii="Palatino Linotype" w:hAnsi="Palatino Linotype"/>
        </w:rPr>
        <w:t xml:space="preserve"> </w:t>
      </w:r>
      <w:r w:rsidRPr="00C8035B">
        <w:rPr>
          <w:rFonts w:ascii="Palatino Linotype" w:hAnsi="Palatino Linotype"/>
          <w:b/>
        </w:rPr>
        <w:t>SUJETO OBLIGADO</w:t>
      </w:r>
      <w:r w:rsidR="00B31030">
        <w:rPr>
          <w:rFonts w:ascii="Palatino Linotype" w:hAnsi="Palatino Linotype"/>
          <w:b/>
        </w:rPr>
        <w:t xml:space="preserve">, </w:t>
      </w:r>
      <w:r w:rsidR="00B31030">
        <w:rPr>
          <w:rFonts w:ascii="Palatino Linotype" w:hAnsi="Palatino Linotype"/>
        </w:rPr>
        <w:t>la siguiente información:</w:t>
      </w:r>
    </w:p>
    <w:p w:rsidR="00990133" w:rsidRDefault="00990133" w:rsidP="003146AF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ind w:left="851" w:right="7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Documento que avale que en su tesorería se encuentran los </w:t>
      </w:r>
      <w:r w:rsidR="003146AF">
        <w:rPr>
          <w:rFonts w:ascii="Palatino Linotype" w:hAnsi="Palatino Linotype"/>
        </w:rPr>
        <w:t>$10</w:t>
      </w:r>
      <w:r w:rsidR="00DC5065">
        <w:rPr>
          <w:rFonts w:ascii="Palatino Linotype" w:hAnsi="Palatino Linotype"/>
        </w:rPr>
        <w:t>, 000,000</w:t>
      </w:r>
      <w:r w:rsidR="003146AF">
        <w:rPr>
          <w:rFonts w:ascii="Palatino Linotype" w:hAnsi="Palatino Linotype"/>
        </w:rPr>
        <w:t xml:space="preserve"> destinados para la obra “Rehabilitación del deportivo Caracoles”.</w:t>
      </w:r>
    </w:p>
    <w:p w:rsidR="003146AF" w:rsidRDefault="003146AF" w:rsidP="003146AF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ind w:left="851" w:right="7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Documento en el cual se establezca el inicio y final de dicha obra.</w:t>
      </w:r>
    </w:p>
    <w:p w:rsidR="003146AF" w:rsidRDefault="00DC5065" w:rsidP="003146AF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ind w:left="851" w:right="7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¿Cuándo</w:t>
      </w:r>
      <w:r w:rsidR="003146AF">
        <w:rPr>
          <w:rFonts w:ascii="Palatino Linotype" w:hAnsi="Palatino Linotype"/>
        </w:rPr>
        <w:t xml:space="preserve"> se recuperará la fianza de $ 2</w:t>
      </w:r>
      <w:r>
        <w:rPr>
          <w:rFonts w:ascii="Palatino Linotype" w:hAnsi="Palatino Linotype"/>
        </w:rPr>
        <w:t>, 585,215.79?</w:t>
      </w:r>
    </w:p>
    <w:p w:rsidR="003146AF" w:rsidRDefault="00DC5065" w:rsidP="003146AF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ind w:left="851" w:right="7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¿Cuándo se va a aplicar la pena convencional?</w:t>
      </w:r>
    </w:p>
    <w:p w:rsidR="00DC5065" w:rsidRPr="00990133" w:rsidRDefault="00DC5065" w:rsidP="003146AF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ind w:left="851" w:right="7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Que se funde y motive el por qué se dará vista al Ministerio Público.</w:t>
      </w:r>
    </w:p>
    <w:p w:rsidR="00C8035B" w:rsidRPr="00BA339A" w:rsidRDefault="00B51260" w:rsidP="00D25BD2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</w:rPr>
        <w:t>De las constancias que obran</w:t>
      </w:r>
      <w:r w:rsidR="00674996" w:rsidRPr="00C8035B">
        <w:rPr>
          <w:rFonts w:ascii="Palatino Linotype" w:hAnsi="Palatino Linotype" w:cs="Arial"/>
        </w:rPr>
        <w:t xml:space="preserve"> dentro del expediente electrónico del</w:t>
      </w:r>
      <w:r w:rsidR="00767B65" w:rsidRPr="00C8035B">
        <w:rPr>
          <w:rFonts w:ascii="Palatino Linotype" w:hAnsi="Palatino Linotype" w:cs="Arial"/>
        </w:rPr>
        <w:t xml:space="preserve"> Sistema de Acceso a la Información Mexiquense</w:t>
      </w:r>
      <w:r w:rsidR="00106889">
        <w:rPr>
          <w:rFonts w:ascii="Palatino Linotype" w:hAnsi="Palatino Linotype" w:cs="Arial"/>
        </w:rPr>
        <w:t>,</w:t>
      </w:r>
      <w:r w:rsidR="00767B65" w:rsidRPr="00C8035B">
        <w:rPr>
          <w:rFonts w:ascii="Palatino Linotype" w:hAnsi="Palatino Linotype" w:cs="Arial"/>
        </w:rPr>
        <w:t xml:space="preserve"> en lo subsecuente el</w:t>
      </w:r>
      <w:r w:rsidR="00674996" w:rsidRPr="00C8035B">
        <w:rPr>
          <w:rFonts w:ascii="Palatino Linotype" w:hAnsi="Palatino Linotype" w:cs="Arial"/>
        </w:rPr>
        <w:t xml:space="preserve"> </w:t>
      </w:r>
      <w:r w:rsidR="00674996" w:rsidRPr="00C8035B">
        <w:rPr>
          <w:rFonts w:ascii="Palatino Linotype" w:hAnsi="Palatino Linotype" w:cs="Arial"/>
          <w:b/>
        </w:rPr>
        <w:t>SAIMEX</w:t>
      </w:r>
      <w:r w:rsidR="00767B65" w:rsidRPr="00C8035B">
        <w:rPr>
          <w:rFonts w:ascii="Palatino Linotype" w:hAnsi="Palatino Linotype" w:cs="Arial"/>
          <w:b/>
        </w:rPr>
        <w:t>,</w:t>
      </w:r>
      <w:r w:rsidR="00674996" w:rsidRPr="00C8035B">
        <w:rPr>
          <w:rFonts w:ascii="Palatino Linotype" w:hAnsi="Palatino Linotype" w:cs="Arial"/>
        </w:rPr>
        <w:t xml:space="preserve"> </w:t>
      </w:r>
      <w:r w:rsidR="00E15CE2" w:rsidRPr="00C8035B">
        <w:rPr>
          <w:rFonts w:ascii="Palatino Linotype" w:hAnsi="Palatino Linotype" w:cs="Arial"/>
        </w:rPr>
        <w:t>se advierte q</w:t>
      </w:r>
      <w:r w:rsidR="00674996" w:rsidRPr="00C8035B">
        <w:rPr>
          <w:rFonts w:ascii="Palatino Linotype" w:hAnsi="Palatino Linotype" w:cs="Arial"/>
        </w:rPr>
        <w:t>ue</w:t>
      </w:r>
      <w:r w:rsidR="00DC5C4E" w:rsidRPr="00C8035B">
        <w:rPr>
          <w:rFonts w:ascii="Palatino Linotype" w:hAnsi="Palatino Linotype" w:cs="Arial"/>
        </w:rPr>
        <w:t xml:space="preserve"> </w:t>
      </w:r>
      <w:r w:rsidR="00734D98">
        <w:rPr>
          <w:rFonts w:ascii="Palatino Linotype" w:hAnsi="Palatino Linotype" w:cs="Arial"/>
          <w:b/>
        </w:rPr>
        <w:t>EL SUJETO OBLIGADO</w:t>
      </w:r>
      <w:r w:rsidR="00674996" w:rsidRPr="00C8035B">
        <w:rPr>
          <w:rFonts w:ascii="Palatino Linotype" w:hAnsi="Palatino Linotype" w:cs="Arial"/>
          <w:b/>
        </w:rPr>
        <w:t xml:space="preserve"> </w:t>
      </w:r>
      <w:r w:rsidR="00D25BD2">
        <w:rPr>
          <w:rFonts w:ascii="Palatino Linotype" w:hAnsi="Palatino Linotype" w:cs="Arial"/>
        </w:rPr>
        <w:t>remitió dos archivos electrónicos con los cuales pretendía satisfacer el derecho de acceso a la información pública accionado por el particular.</w:t>
      </w:r>
    </w:p>
    <w:p w:rsidR="00DC5C4E" w:rsidRPr="00C8035B" w:rsidRDefault="00106889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E48DF">
        <w:rPr>
          <w:rFonts w:ascii="Palatino Linotype" w:hAnsi="Palatino Linotype"/>
        </w:rPr>
        <w:t xml:space="preserve">Inconforme con la respuesta, </w:t>
      </w:r>
      <w:r w:rsidR="00BE0D37">
        <w:rPr>
          <w:rFonts w:ascii="Palatino Linotype" w:hAnsi="Palatino Linotype"/>
        </w:rPr>
        <w:t>el</w:t>
      </w:r>
      <w:r w:rsidRPr="00DE48DF">
        <w:rPr>
          <w:rFonts w:ascii="Palatino Linotype" w:hAnsi="Palatino Linotype"/>
          <w:b/>
        </w:rPr>
        <w:t xml:space="preserve"> </w:t>
      </w:r>
      <w:r w:rsidRPr="00DE48DF">
        <w:rPr>
          <w:rFonts w:ascii="Palatino Linotype" w:hAnsi="Palatino Linotype"/>
        </w:rPr>
        <w:t xml:space="preserve">ahora </w:t>
      </w:r>
      <w:r w:rsidRPr="00DE48DF">
        <w:rPr>
          <w:rFonts w:ascii="Palatino Linotype" w:hAnsi="Palatino Linotype"/>
          <w:b/>
        </w:rPr>
        <w:t>RECURRENTE</w:t>
      </w:r>
      <w:r w:rsidRPr="00DE48DF">
        <w:rPr>
          <w:rFonts w:ascii="Palatino Linotype" w:hAnsi="Palatino Linotype"/>
        </w:rPr>
        <w:t xml:space="preserve"> interpuso el recurso de revisión al rubro señalado, en el que </w:t>
      </w:r>
      <w:r w:rsidR="00285CD1">
        <w:rPr>
          <w:rFonts w:ascii="Palatino Linotype" w:hAnsi="Palatino Linotype" w:cs="Arial"/>
        </w:rPr>
        <w:t>manifestó</w:t>
      </w:r>
      <w:r w:rsidR="00674942">
        <w:rPr>
          <w:rFonts w:ascii="Palatino Linotype" w:hAnsi="Palatino Linotype" w:cs="Arial"/>
        </w:rPr>
        <w:t xml:space="preserve"> </w:t>
      </w:r>
      <w:r w:rsidR="00236809">
        <w:rPr>
          <w:rFonts w:ascii="Palatino Linotype" w:hAnsi="Palatino Linotype" w:cs="Arial"/>
        </w:rPr>
        <w:t xml:space="preserve">medularmente </w:t>
      </w:r>
      <w:r w:rsidR="00674942">
        <w:rPr>
          <w:rFonts w:ascii="Palatino Linotype" w:hAnsi="Palatino Linotype" w:cs="Arial"/>
        </w:rPr>
        <w:t>como razones o motivos de in</w:t>
      </w:r>
      <w:r w:rsidR="00285CD1">
        <w:rPr>
          <w:rFonts w:ascii="Palatino Linotype" w:hAnsi="Palatino Linotype" w:cs="Arial"/>
        </w:rPr>
        <w:t>conformidad que no se le entregó</w:t>
      </w:r>
      <w:r w:rsidR="00674942">
        <w:rPr>
          <w:rFonts w:ascii="Palatino Linotype" w:hAnsi="Palatino Linotype" w:cs="Arial"/>
        </w:rPr>
        <w:t xml:space="preserve"> la información</w:t>
      </w:r>
      <w:r w:rsidR="00334797">
        <w:rPr>
          <w:rFonts w:ascii="Palatino Linotype" w:hAnsi="Palatino Linotype" w:cs="Arial"/>
        </w:rPr>
        <w:t xml:space="preserve"> completa</w:t>
      </w:r>
      <w:r>
        <w:rPr>
          <w:rFonts w:ascii="Palatino Linotype" w:hAnsi="Palatino Linotype" w:cs="Arial"/>
        </w:rPr>
        <w:t>.</w:t>
      </w:r>
    </w:p>
    <w:p w:rsidR="00E15CE2" w:rsidRPr="00C8035B" w:rsidRDefault="00B51260" w:rsidP="00A23390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</w:rPr>
      </w:pPr>
      <w:r w:rsidRPr="00C8035B">
        <w:rPr>
          <w:rFonts w:ascii="Palatino Linotype" w:hAnsi="Palatino Linotype" w:cs="Arial"/>
        </w:rPr>
        <w:t>Atento a lo anterior</w:t>
      </w:r>
      <w:r w:rsidR="00DC5C4E" w:rsidRPr="00C8035B">
        <w:rPr>
          <w:rFonts w:ascii="Palatino Linotype" w:hAnsi="Palatino Linotype" w:cs="Arial"/>
        </w:rPr>
        <w:t xml:space="preserve">, la Ponencia </w:t>
      </w:r>
      <w:proofErr w:type="spellStart"/>
      <w:r w:rsidR="00DC5C4E" w:rsidRPr="00C8035B">
        <w:rPr>
          <w:rFonts w:ascii="Palatino Linotype" w:hAnsi="Palatino Linotype" w:cs="Arial"/>
        </w:rPr>
        <w:t>Resolutora</w:t>
      </w:r>
      <w:proofErr w:type="spellEnd"/>
      <w:r w:rsidR="00DC5C4E" w:rsidRPr="00C8035B">
        <w:rPr>
          <w:rFonts w:ascii="Palatino Linotype" w:hAnsi="Palatino Linotype" w:cs="Arial"/>
        </w:rPr>
        <w:t xml:space="preserve"> determinó </w:t>
      </w:r>
      <w:r w:rsidR="00334797">
        <w:rPr>
          <w:rFonts w:ascii="Palatino Linotype" w:hAnsi="Palatino Linotype" w:cs="Arial"/>
          <w:b/>
        </w:rPr>
        <w:t>REVOCAR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hAnsi="Palatino Linotype" w:cs="Arial"/>
        </w:rPr>
        <w:t xml:space="preserve">la respuesta del </w:t>
      </w:r>
      <w:r w:rsidR="00DC5C4E" w:rsidRPr="00C8035B">
        <w:rPr>
          <w:rFonts w:ascii="Palatino Linotype" w:hAnsi="Palatino Linotype" w:cs="Arial"/>
          <w:b/>
        </w:rPr>
        <w:t>SUJETO OBLIGADO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hAnsi="Palatino Linotype" w:cs="Arial"/>
        </w:rPr>
        <w:t>ordenándole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eastAsia="Calibri" w:hAnsi="Palatino Linotype" w:cs="Arial"/>
        </w:rPr>
        <w:t>hacer</w:t>
      </w:r>
      <w:r w:rsidR="00DC5C4E" w:rsidRPr="00C8035B">
        <w:rPr>
          <w:rFonts w:ascii="Palatino Linotype" w:hAnsi="Palatino Linotype" w:cs="Arial"/>
          <w:b/>
        </w:rPr>
        <w:t xml:space="preserve"> </w:t>
      </w:r>
      <w:r w:rsidR="00DC5C4E" w:rsidRPr="00C8035B">
        <w:rPr>
          <w:rFonts w:ascii="Palatino Linotype" w:hAnsi="Palatino Linotype" w:cs="Arial"/>
        </w:rPr>
        <w:t xml:space="preserve">la entrega, vía </w:t>
      </w:r>
      <w:r w:rsidR="00334797">
        <w:rPr>
          <w:rFonts w:ascii="Palatino Linotype" w:hAnsi="Palatino Linotype" w:cs="Arial"/>
        </w:rPr>
        <w:t xml:space="preserve">correo electrónico y </w:t>
      </w:r>
      <w:r w:rsidR="00767B65" w:rsidRPr="00C8035B">
        <w:rPr>
          <w:rFonts w:ascii="Palatino Linotype" w:hAnsi="Palatino Linotype"/>
        </w:rPr>
        <w:t>SAIMEX</w:t>
      </w:r>
      <w:r w:rsidR="00767B65" w:rsidRPr="00C8035B">
        <w:rPr>
          <w:rFonts w:ascii="Palatino Linotype" w:hAnsi="Palatino Linotype" w:cs="Arial"/>
        </w:rPr>
        <w:t xml:space="preserve"> </w:t>
      </w:r>
      <w:r w:rsidR="00334797">
        <w:rPr>
          <w:rFonts w:ascii="Palatino Linotype" w:hAnsi="Palatino Linotype" w:cs="Arial"/>
        </w:rPr>
        <w:t>y de ser el caso</w:t>
      </w:r>
      <w:r w:rsidR="001A7CEE" w:rsidRPr="00C8035B">
        <w:rPr>
          <w:rFonts w:ascii="Palatino Linotype" w:hAnsi="Palatino Linotype" w:cs="Arial"/>
        </w:rPr>
        <w:t xml:space="preserve"> </w:t>
      </w:r>
      <w:r w:rsidR="00DC5C4E" w:rsidRPr="00C8035B">
        <w:rPr>
          <w:rFonts w:ascii="Palatino Linotype" w:hAnsi="Palatino Linotype" w:cs="Arial"/>
        </w:rPr>
        <w:t>en versión pública</w:t>
      </w:r>
      <w:r w:rsidR="001A7CEE" w:rsidRPr="00C8035B">
        <w:rPr>
          <w:rFonts w:ascii="Palatino Linotype" w:hAnsi="Palatino Linotype" w:cs="Arial"/>
        </w:rPr>
        <w:t xml:space="preserve"> </w:t>
      </w:r>
      <w:r w:rsidR="00E15CE2" w:rsidRPr="00C8035B">
        <w:rPr>
          <w:rFonts w:ascii="Palatino Linotype" w:hAnsi="Palatino Linotype" w:cs="Arial"/>
        </w:rPr>
        <w:t xml:space="preserve">de </w:t>
      </w:r>
      <w:r w:rsidR="001A7CEE" w:rsidRPr="00C8035B">
        <w:rPr>
          <w:rFonts w:ascii="Palatino Linotype" w:hAnsi="Palatino Linotype" w:cs="Arial"/>
        </w:rPr>
        <w:t>la información</w:t>
      </w:r>
      <w:r w:rsidR="00DC5C4E" w:rsidRPr="00C8035B">
        <w:rPr>
          <w:rFonts w:ascii="Palatino Linotype" w:eastAsia="Calibri" w:hAnsi="Palatino Linotype" w:cs="Arial"/>
          <w:color w:val="000000" w:themeColor="text1"/>
        </w:rPr>
        <w:t>.</w:t>
      </w:r>
      <w:r w:rsidR="00697966" w:rsidRPr="00C8035B">
        <w:rPr>
          <w:rFonts w:ascii="Palatino Linotype" w:eastAsia="Calibri" w:hAnsi="Palatino Linotype" w:cs="Arial"/>
          <w:color w:val="000000" w:themeColor="text1"/>
        </w:rPr>
        <w:t xml:space="preserve"> </w:t>
      </w:r>
    </w:p>
    <w:p w:rsidR="00DC5C4E" w:rsidRP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</w:rPr>
      </w:pPr>
      <w:r w:rsidRPr="00C8035B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difiero respecto </w:t>
      </w:r>
      <w:r w:rsidR="00B51260" w:rsidRPr="00C8035B">
        <w:rPr>
          <w:rFonts w:ascii="Palatino Linotype" w:hAnsi="Palatino Linotype" w:cs="Arial"/>
          <w:lang w:val="es-MX"/>
        </w:rPr>
        <w:t>al pronunciamiento que se ordena al</w:t>
      </w:r>
      <w:r w:rsidRPr="00C8035B">
        <w:rPr>
          <w:rFonts w:ascii="Palatino Linotype" w:hAnsi="Palatino Linotype" w:cs="Arial"/>
          <w:lang w:val="es-MX"/>
        </w:rPr>
        <w:t xml:space="preserve"> </w:t>
      </w:r>
      <w:r w:rsidRPr="00C8035B">
        <w:rPr>
          <w:rFonts w:ascii="Palatino Linotype" w:hAnsi="Palatino Linotype" w:cs="Arial"/>
          <w:b/>
          <w:lang w:val="es-MX"/>
        </w:rPr>
        <w:t>SUJETO OBLIGADO</w:t>
      </w:r>
      <w:r w:rsidR="00FC2815" w:rsidRPr="00C8035B">
        <w:rPr>
          <w:rFonts w:ascii="Palatino Linotype" w:hAnsi="Palatino Linotype" w:cs="Arial"/>
          <w:lang w:val="es-MX"/>
        </w:rPr>
        <w:t xml:space="preserve">, </w:t>
      </w:r>
      <w:r w:rsidR="00B51260" w:rsidRPr="00C8035B">
        <w:rPr>
          <w:rFonts w:ascii="Palatino Linotype" w:hAnsi="Palatino Linotype" w:cs="Arial"/>
          <w:lang w:val="es-MX"/>
        </w:rPr>
        <w:t>par</w:t>
      </w:r>
      <w:r w:rsidR="008E247D">
        <w:rPr>
          <w:rFonts w:ascii="Palatino Linotype" w:hAnsi="Palatino Linotype" w:cs="Arial"/>
          <w:lang w:val="es-MX"/>
        </w:rPr>
        <w:t>a el caso de no haberse poseído o administrado</w:t>
      </w:r>
      <w:r w:rsidR="00B51260" w:rsidRPr="00C8035B">
        <w:rPr>
          <w:rFonts w:ascii="Palatino Linotype" w:hAnsi="Palatino Linotype" w:cs="Arial"/>
          <w:lang w:val="es-MX"/>
        </w:rPr>
        <w:t xml:space="preserve"> la información; </w:t>
      </w:r>
      <w:r w:rsidR="00FC2815" w:rsidRPr="00C8035B">
        <w:rPr>
          <w:rFonts w:ascii="Palatino Linotype" w:hAnsi="Palatino Linotype" w:cs="Arial"/>
          <w:lang w:val="es-MX"/>
        </w:rPr>
        <w:t>ordenándole que</w:t>
      </w:r>
      <w:r w:rsidR="00B51260" w:rsidRPr="00C8035B">
        <w:rPr>
          <w:rFonts w:ascii="Palatino Linotype" w:hAnsi="Palatino Linotype" w:cs="Arial"/>
          <w:lang w:val="es-MX"/>
        </w:rPr>
        <w:t xml:space="preserve"> </w:t>
      </w:r>
      <w:r w:rsidRPr="00C8035B">
        <w:rPr>
          <w:rFonts w:ascii="Palatino Linotype" w:hAnsi="Palatino Linotype" w:cs="Arial"/>
          <w:lang w:val="es-MX"/>
        </w:rPr>
        <w:t xml:space="preserve">se </w:t>
      </w:r>
      <w:r w:rsidR="00BE0D37">
        <w:rPr>
          <w:rFonts w:ascii="Palatino Linotype" w:hAnsi="Palatino Linotype" w:cs="Arial"/>
          <w:lang w:val="es-MX"/>
        </w:rPr>
        <w:t>manifieste</w:t>
      </w:r>
      <w:r w:rsidRPr="00C8035B">
        <w:rPr>
          <w:rFonts w:ascii="Palatino Linotype" w:hAnsi="Palatino Linotype" w:cs="Arial"/>
          <w:lang w:val="es-MX"/>
        </w:rPr>
        <w:t xml:space="preserve"> </w:t>
      </w:r>
      <w:r w:rsidRPr="00C8035B">
        <w:rPr>
          <w:rFonts w:ascii="Palatino Linotype" w:eastAsia="Calibri" w:hAnsi="Palatino Linotype" w:cs="Arial"/>
        </w:rPr>
        <w:t>de manera precisa y clara</w:t>
      </w:r>
      <w:r w:rsidR="008E247D">
        <w:rPr>
          <w:rFonts w:ascii="Palatino Linotype" w:eastAsia="Calibri" w:hAnsi="Palatino Linotype" w:cs="Arial"/>
        </w:rPr>
        <w:t>,</w:t>
      </w:r>
      <w:r w:rsidRPr="00C8035B">
        <w:rPr>
          <w:rFonts w:ascii="Palatino Linotype" w:eastAsia="Calibri" w:hAnsi="Palatino Linotype" w:cs="Arial"/>
        </w:rPr>
        <w:t xml:space="preserve"> argumentando </w:t>
      </w:r>
      <w:r w:rsidRPr="00C8035B">
        <w:rPr>
          <w:rFonts w:ascii="Palatino Linotype" w:eastAsia="Calibri" w:hAnsi="Palatino Linotype" w:cs="Arial"/>
        </w:rPr>
        <w:lastRenderedPageBreak/>
        <w:t>las razones que expliquen las causas por la</w:t>
      </w:r>
      <w:r w:rsidR="001A7CEE" w:rsidRPr="00C8035B">
        <w:rPr>
          <w:rFonts w:ascii="Palatino Linotype" w:eastAsia="Calibri" w:hAnsi="Palatino Linotype" w:cs="Arial"/>
        </w:rPr>
        <w:t>s</w:t>
      </w:r>
      <w:r w:rsidRPr="00C8035B">
        <w:rPr>
          <w:rFonts w:ascii="Palatino Linotype" w:eastAsia="Calibri" w:hAnsi="Palatino Linotype" w:cs="Arial"/>
        </w:rPr>
        <w:t xml:space="preserve"> que no se </w:t>
      </w:r>
      <w:r w:rsidR="008E247D">
        <w:rPr>
          <w:rFonts w:ascii="Palatino Linotype" w:eastAsia="Calibri" w:hAnsi="Palatino Linotype" w:cs="Arial"/>
        </w:rPr>
        <w:t>posee o administra</w:t>
      </w:r>
      <w:r w:rsidR="00D0171B">
        <w:rPr>
          <w:rFonts w:ascii="Palatino Linotype" w:eastAsia="Calibri" w:hAnsi="Palatino Linotype" w:cs="Arial"/>
        </w:rPr>
        <w:t xml:space="preserve"> la</w:t>
      </w:r>
      <w:r w:rsidR="008C77DB">
        <w:rPr>
          <w:rFonts w:ascii="Palatino Linotype" w:eastAsia="Calibri" w:hAnsi="Palatino Linotype" w:cs="Arial"/>
        </w:rPr>
        <w:t xml:space="preserve"> información</w:t>
      </w:r>
      <w:r w:rsidR="00334797">
        <w:rPr>
          <w:rFonts w:ascii="Palatino Linotype" w:eastAsia="Calibri" w:hAnsi="Palatino Linotype" w:cs="Arial"/>
        </w:rPr>
        <w:t xml:space="preserve"> de los puntos 3, 4 y 5 </w:t>
      </w:r>
      <w:r w:rsidR="00D0171B">
        <w:rPr>
          <w:rFonts w:ascii="Palatino Linotype" w:eastAsia="Calibri" w:hAnsi="Palatino Linotype" w:cs="Arial"/>
        </w:rPr>
        <w:t>del resolutivo segundo</w:t>
      </w:r>
      <w:r w:rsidR="008C77DB">
        <w:rPr>
          <w:rFonts w:ascii="Palatino Linotype" w:eastAsia="Calibri" w:hAnsi="Palatino Linotype" w:cs="Arial"/>
        </w:rPr>
        <w:t>.</w:t>
      </w:r>
    </w:p>
    <w:p w:rsidR="00440036" w:rsidRPr="00C8035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C8035B">
        <w:rPr>
          <w:rFonts w:ascii="Palatino Linotype" w:hAnsi="Palatino Linotype" w:cs="Arial"/>
          <w:lang w:val="es-MX"/>
        </w:rPr>
        <w:t xml:space="preserve">Es decir, al ordenar un pronunciamiento por parte del </w:t>
      </w:r>
      <w:r w:rsidRPr="00C8035B">
        <w:rPr>
          <w:rFonts w:ascii="Palatino Linotype" w:hAnsi="Palatino Linotype" w:cs="Arial"/>
          <w:b/>
          <w:lang w:val="es-MX"/>
        </w:rPr>
        <w:t xml:space="preserve">SUJETO OBLIGADO </w:t>
      </w:r>
      <w:r w:rsidRPr="00C8035B">
        <w:rPr>
          <w:rFonts w:ascii="Palatino Linotype" w:hAnsi="Palatino Linotype" w:cs="Arial"/>
          <w:lang w:val="es-MX"/>
        </w:rPr>
        <w:t>en el que se establezcan las</w:t>
      </w:r>
      <w:r w:rsidR="008E247D">
        <w:rPr>
          <w:rFonts w:ascii="Palatino Linotype" w:hAnsi="Palatino Linotype" w:cs="Arial"/>
          <w:lang w:val="es-MX"/>
        </w:rPr>
        <w:t xml:space="preserve"> causas por las que no se posee o administra</w:t>
      </w:r>
      <w:r w:rsidRPr="00C8035B">
        <w:rPr>
          <w:rFonts w:ascii="Palatino Linotype" w:hAnsi="Palatino Linotype" w:cs="Arial"/>
          <w:lang w:val="es-MX"/>
        </w:rPr>
        <w:t xml:space="preserve"> la información solicitada, implicaría </w:t>
      </w:r>
      <w:r w:rsidR="00C33AE1" w:rsidRPr="00C8035B">
        <w:rPr>
          <w:rFonts w:ascii="Palatino Linotype" w:hAnsi="Palatino Linotype" w:cs="Arial"/>
          <w:lang w:val="es-MX"/>
        </w:rPr>
        <w:t xml:space="preserve">afirmar </w:t>
      </w:r>
      <w:r w:rsidRPr="00C8035B">
        <w:rPr>
          <w:rFonts w:ascii="Palatino Linotype" w:hAnsi="Palatino Linotype" w:cs="Arial"/>
          <w:lang w:val="es-MX"/>
        </w:rPr>
        <w:t>que efectivamente</w:t>
      </w:r>
      <w:r w:rsidR="00734D98">
        <w:rPr>
          <w:rFonts w:ascii="Palatino Linotype" w:hAnsi="Palatino Linotype" w:cs="Arial"/>
          <w:lang w:val="es-MX"/>
        </w:rPr>
        <w:t xml:space="preserve"> dicho</w:t>
      </w:r>
      <w:r w:rsidR="00FD3B8E">
        <w:rPr>
          <w:rFonts w:ascii="Palatino Linotype" w:hAnsi="Palatino Linotype" w:cs="Arial"/>
          <w:lang w:val="es-MX"/>
        </w:rPr>
        <w:t>s</w:t>
      </w:r>
      <w:r w:rsidR="00734D98">
        <w:rPr>
          <w:rFonts w:ascii="Palatino Linotype" w:hAnsi="Palatino Linotype" w:cs="Arial"/>
          <w:lang w:val="es-MX"/>
        </w:rPr>
        <w:t xml:space="preserve"> documento</w:t>
      </w:r>
      <w:r w:rsidR="00FD3B8E">
        <w:rPr>
          <w:rFonts w:ascii="Palatino Linotype" w:hAnsi="Palatino Linotype" w:cs="Arial"/>
          <w:lang w:val="es-MX"/>
        </w:rPr>
        <w:t>s</w:t>
      </w:r>
      <w:r w:rsidR="00734D98">
        <w:rPr>
          <w:rFonts w:ascii="Palatino Linotype" w:hAnsi="Palatino Linotype" w:cs="Arial"/>
          <w:lang w:val="es-MX"/>
        </w:rPr>
        <w:t xml:space="preserve"> obra</w:t>
      </w:r>
      <w:r w:rsidR="00285CD1">
        <w:rPr>
          <w:rFonts w:ascii="Palatino Linotype" w:hAnsi="Palatino Linotype" w:cs="Arial"/>
          <w:lang w:val="es-MX"/>
        </w:rPr>
        <w:t xml:space="preserve">n </w:t>
      </w:r>
      <w:r w:rsidR="00734D98">
        <w:rPr>
          <w:rFonts w:ascii="Palatino Linotype" w:hAnsi="Palatino Linotype" w:cs="Arial"/>
          <w:lang w:val="es-MX"/>
        </w:rPr>
        <w:t>en los archivos del</w:t>
      </w:r>
      <w:r w:rsidR="00ED78BB" w:rsidRPr="00C8035B">
        <w:rPr>
          <w:rFonts w:ascii="Palatino Linotype" w:hAnsi="Palatino Linotype" w:cs="Arial"/>
          <w:lang w:val="es-MX"/>
        </w:rPr>
        <w:t xml:space="preserve"> </w:t>
      </w:r>
      <w:r w:rsidR="00ED78BB" w:rsidRPr="00C8035B">
        <w:rPr>
          <w:rFonts w:ascii="Palatino Linotype" w:hAnsi="Palatino Linotype" w:cs="Arial"/>
          <w:b/>
          <w:lang w:val="es-MX"/>
        </w:rPr>
        <w:t>SUJETO OBLIGADO</w:t>
      </w:r>
      <w:r w:rsidR="004769EB">
        <w:rPr>
          <w:rFonts w:ascii="Palatino Linotype" w:hAnsi="Palatino Linotype" w:cs="Arial"/>
          <w:lang w:val="es-MX"/>
        </w:rPr>
        <w:t>,</w:t>
      </w:r>
      <w:r w:rsidR="00E15CE2" w:rsidRPr="00C8035B">
        <w:rPr>
          <w:rFonts w:ascii="Palatino Linotype" w:hAnsi="Palatino Linotype" w:cs="Arial"/>
          <w:lang w:val="es-MX"/>
        </w:rPr>
        <w:t xml:space="preserve"> </w:t>
      </w:r>
      <w:r w:rsidR="004769EB">
        <w:rPr>
          <w:rFonts w:ascii="Palatino Linotype" w:hAnsi="Palatino Linotype" w:cs="Arial"/>
          <w:lang w:val="es-MX"/>
        </w:rPr>
        <w:t>aun cuando en las actuaciones del</w:t>
      </w:r>
      <w:r w:rsidRPr="00C8035B">
        <w:rPr>
          <w:rFonts w:ascii="Palatino Linotype" w:hAnsi="Palatino Linotype" w:cs="Arial"/>
          <w:lang w:val="es-MX"/>
        </w:rPr>
        <w:t xml:space="preserve"> expediente</w:t>
      </w:r>
      <w:r w:rsidR="004769EB">
        <w:rPr>
          <w:rFonts w:ascii="Palatino Linotype" w:hAnsi="Palatino Linotype" w:cs="Arial"/>
          <w:lang w:val="es-MX"/>
        </w:rPr>
        <w:t xml:space="preserve"> electrónico</w:t>
      </w:r>
      <w:r w:rsidRPr="00C8035B">
        <w:rPr>
          <w:rFonts w:ascii="Palatino Linotype" w:hAnsi="Palatino Linotype" w:cs="Arial"/>
          <w:lang w:val="es-MX"/>
        </w:rPr>
        <w:t xml:space="preserve"> no se advierte dicha circunstancia ni existen indicios tendientes a demostrar lo aseverado por la Ponencia </w:t>
      </w:r>
      <w:proofErr w:type="spellStart"/>
      <w:r w:rsidRPr="00C8035B">
        <w:rPr>
          <w:rFonts w:ascii="Palatino Linotype" w:hAnsi="Palatino Linotype" w:cs="Arial"/>
          <w:lang w:val="es-MX"/>
        </w:rPr>
        <w:t>Resolutora</w:t>
      </w:r>
      <w:proofErr w:type="spellEnd"/>
      <w:r w:rsidRPr="00C8035B">
        <w:rPr>
          <w:rFonts w:ascii="Palatino Linotype" w:hAnsi="Palatino Linotype" w:cs="Arial"/>
          <w:lang w:val="es-MX"/>
        </w:rPr>
        <w:t xml:space="preserve">. </w:t>
      </w:r>
    </w:p>
    <w:p w:rsidR="00440036" w:rsidRPr="00C8035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C8035B">
        <w:rPr>
          <w:rFonts w:ascii="Palatino Linotype" w:hAnsi="Palatino Linotype" w:cs="Arial"/>
          <w:lang w:val="es-MX"/>
        </w:rPr>
        <w:t>En ese sentido, es menester r</w:t>
      </w:r>
      <w:r w:rsidR="00767B65" w:rsidRPr="00C8035B">
        <w:rPr>
          <w:rFonts w:ascii="Palatino Linotype" w:hAnsi="Palatino Linotype" w:cs="Arial"/>
          <w:lang w:val="es-MX"/>
        </w:rPr>
        <w:t>emitirse al</w:t>
      </w:r>
      <w:r w:rsidRPr="00C8035B">
        <w:rPr>
          <w:rFonts w:ascii="Palatino Linotype" w:hAnsi="Palatino Linotype" w:cs="Arial"/>
          <w:lang w:val="es-MX"/>
        </w:rPr>
        <w:t xml:space="preserve"> artículo 19 de la Ley de la materia</w:t>
      </w:r>
      <w:r w:rsidR="001A7CEE" w:rsidRPr="00C8035B">
        <w:rPr>
          <w:rFonts w:ascii="Palatino Linotype" w:hAnsi="Palatino Linotype" w:cs="Arial"/>
          <w:lang w:val="es-MX"/>
        </w:rPr>
        <w:t xml:space="preserve"> que a la letra dice</w:t>
      </w:r>
      <w:r w:rsidRPr="00C8035B">
        <w:rPr>
          <w:rFonts w:ascii="Palatino Linotype" w:hAnsi="Palatino Linotype" w:cs="Arial"/>
          <w:lang w:val="es-MX"/>
        </w:rPr>
        <w:t>:</w:t>
      </w:r>
    </w:p>
    <w:p w:rsidR="00C8035B" w:rsidRPr="00C8035B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b/>
          <w:i/>
          <w:sz w:val="22"/>
          <w:lang w:val="es-MX"/>
        </w:rPr>
        <w:t>Artículo 19.</w:t>
      </w:r>
      <w:r w:rsidRPr="00C8035B">
        <w:rPr>
          <w:rFonts w:ascii="Palatino Linotype" w:hAnsi="Palatino Linotype" w:cs="Arial"/>
          <w:i/>
          <w:sz w:val="22"/>
          <w:lang w:val="es-MX"/>
        </w:rPr>
        <w:t xml:space="preserve"> Se presume que la información debe existir si se refiere a las facultades, competencias y funciones que los ordenamientos jurídicos aplicables otorgan a los sujetos obligados.</w:t>
      </w:r>
    </w:p>
    <w:p w:rsidR="00C8035B" w:rsidRPr="00C8035B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i/>
          <w:sz w:val="22"/>
          <w:lang w:val="es-MX"/>
        </w:rPr>
        <w:t>En los casos en que ciertas facultades, competencias o funciones no se hayan ejercido, se debe motivar la respuesta en función de las causas que motiven tal circunstancia.</w:t>
      </w:r>
    </w:p>
    <w:p w:rsidR="008F34EF" w:rsidRPr="0050629D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i/>
          <w:sz w:val="22"/>
          <w:lang w:val="es-MX"/>
        </w:rPr>
        <w:t>Si el sujeto obligado, en el ejercicio de sus atribuciones, debía generar, poseer o administrar la información, pero ésta no se encuentra, el Comité de transparencia deberá emitir un acuerdo de inexistencia, debidamente fundado y motivado, en el que detalle las razones del por qué no obra en sus archivos.</w:t>
      </w:r>
    </w:p>
    <w:p w:rsidR="008C77D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  <w:lang w:val="es-MX"/>
        </w:rPr>
        <w:t xml:space="preserve">De lo anterior, el </w:t>
      </w:r>
      <w:r w:rsidR="005C7C8F" w:rsidRPr="00C8035B">
        <w:rPr>
          <w:rFonts w:ascii="Palatino Linotype" w:hAnsi="Palatino Linotype" w:cs="Arial"/>
          <w:lang w:val="es-MX"/>
        </w:rPr>
        <w:t xml:space="preserve">citado </w:t>
      </w:r>
      <w:r w:rsidRPr="00C8035B">
        <w:rPr>
          <w:rFonts w:ascii="Palatino Linotype" w:hAnsi="Palatino Linotype" w:cs="Arial"/>
          <w:lang w:val="es-MX"/>
        </w:rPr>
        <w:t>artículo señala que</w:t>
      </w:r>
      <w:r w:rsidR="005C7C8F" w:rsidRPr="00C8035B">
        <w:rPr>
          <w:rFonts w:ascii="Palatino Linotype" w:hAnsi="Palatino Linotype" w:cs="Arial"/>
          <w:lang w:val="es-MX"/>
        </w:rPr>
        <w:t>,</w:t>
      </w:r>
      <w:r w:rsidRPr="00C8035B">
        <w:rPr>
          <w:rFonts w:ascii="Palatino Linotype" w:hAnsi="Palatino Linotype" w:cs="Arial"/>
          <w:lang w:val="es-MX"/>
        </w:rPr>
        <w:t xml:space="preserve"> se presume que la información existe en razón de las funciones</w:t>
      </w:r>
      <w:r w:rsidR="00F26150" w:rsidRPr="00C8035B">
        <w:rPr>
          <w:rFonts w:ascii="Palatino Linotype" w:hAnsi="Palatino Linotype" w:cs="Arial"/>
          <w:lang w:val="es-MX"/>
        </w:rPr>
        <w:t xml:space="preserve"> del </w:t>
      </w:r>
      <w:r w:rsidR="00F26150" w:rsidRPr="00C8035B">
        <w:rPr>
          <w:rFonts w:ascii="Palatino Linotype" w:hAnsi="Palatino Linotype" w:cs="Arial"/>
          <w:b/>
          <w:lang w:val="es-MX"/>
        </w:rPr>
        <w:t>SUJETO OBLIGADO</w:t>
      </w:r>
      <w:r w:rsidR="008F34EF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>; es así que</w:t>
      </w:r>
      <w:r w:rsidR="00C33AE1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>,</w:t>
      </w:r>
      <w:r w:rsidR="00E415A4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 xml:space="preserve"> </w:t>
      </w:r>
      <w:r w:rsidRPr="00C8035B">
        <w:rPr>
          <w:rFonts w:ascii="Palatino Linotype" w:hAnsi="Palatino Linotype" w:cs="Arial"/>
        </w:rPr>
        <w:t xml:space="preserve">dicho pronunciamiento </w:t>
      </w:r>
      <w:r w:rsidRPr="00C8035B">
        <w:rPr>
          <w:rFonts w:ascii="Palatino Linotype" w:hAnsi="Palatino Linotype" w:cs="Arial"/>
        </w:rPr>
        <w:lastRenderedPageBreak/>
        <w:t xml:space="preserve">que se ordena al </w:t>
      </w:r>
      <w:r w:rsidRPr="00C8035B">
        <w:rPr>
          <w:rFonts w:ascii="Palatino Linotype" w:hAnsi="Palatino Linotype" w:cs="Arial"/>
          <w:b/>
        </w:rPr>
        <w:t>SUJETO OBLIGADO</w:t>
      </w:r>
      <w:r w:rsidRPr="00C8035B">
        <w:rPr>
          <w:rFonts w:ascii="Palatino Linotype" w:hAnsi="Palatino Linotype" w:cs="Arial"/>
        </w:rPr>
        <w:t xml:space="preserve"> supondría afirmar que </w:t>
      </w:r>
      <w:r w:rsidR="00914A00">
        <w:rPr>
          <w:rFonts w:ascii="Palatino Linotype" w:hAnsi="Palatino Linotype" w:cs="Arial"/>
        </w:rPr>
        <w:t>efectivamente</w:t>
      </w:r>
      <w:r w:rsidR="00853753">
        <w:rPr>
          <w:rFonts w:ascii="Palatino Linotype" w:hAnsi="Palatino Linotype" w:cs="Arial"/>
        </w:rPr>
        <w:t xml:space="preserve"> </w:t>
      </w:r>
      <w:r w:rsidR="00334797" w:rsidRPr="00334797">
        <w:rPr>
          <w:rFonts w:ascii="Palatino Linotype" w:hAnsi="Palatino Linotype" w:cs="Arial"/>
        </w:rPr>
        <w:t>se generaron</w:t>
      </w:r>
      <w:r w:rsidR="00334797">
        <w:rPr>
          <w:rFonts w:ascii="Palatino Linotype" w:hAnsi="Palatino Linotype" w:cs="Arial"/>
        </w:rPr>
        <w:t xml:space="preserve"> dichos documentos y obran</w:t>
      </w:r>
      <w:r w:rsidR="00334797" w:rsidRPr="00334797">
        <w:rPr>
          <w:rFonts w:ascii="Palatino Linotype" w:hAnsi="Palatino Linotype" w:cs="Arial"/>
        </w:rPr>
        <w:t xml:space="preserve"> dentro</w:t>
      </w:r>
      <w:r w:rsidR="00334797">
        <w:rPr>
          <w:rFonts w:ascii="Palatino Linotype" w:hAnsi="Palatino Linotype" w:cs="Arial"/>
        </w:rPr>
        <w:t xml:space="preserve"> de sus archivos</w:t>
      </w:r>
      <w:r w:rsidR="00641735">
        <w:rPr>
          <w:rFonts w:ascii="Palatino Linotype" w:hAnsi="Palatino Linotype" w:cs="Arial"/>
        </w:rPr>
        <w:t xml:space="preserve">. </w:t>
      </w:r>
    </w:p>
    <w:p w:rsidR="008C77DB" w:rsidRDefault="00F27F5C" w:rsidP="00A23390">
      <w:pPr>
        <w:autoSpaceDE w:val="0"/>
        <w:autoSpaceDN w:val="0"/>
        <w:adjustRightInd w:val="0"/>
        <w:spacing w:before="100" w:beforeAutospacing="1" w:after="100" w:afterAutospacing="1" w:line="360" w:lineRule="auto"/>
        <w:ind w:right="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 lo anterior</w:t>
      </w:r>
      <w:r w:rsidR="008C77DB" w:rsidRPr="000B2903">
        <w:rPr>
          <w:rFonts w:ascii="Palatino Linotype" w:hAnsi="Palatino Linotype"/>
        </w:rPr>
        <w:t xml:space="preserve">, y de conformidad con </w:t>
      </w:r>
      <w:r w:rsidR="004769EB">
        <w:rPr>
          <w:rFonts w:ascii="Palatino Linotype" w:hAnsi="Palatino Linotype"/>
        </w:rPr>
        <w:t>lo establecido en el artículo 4</w:t>
      </w:r>
      <w:r w:rsidR="008C77DB" w:rsidRPr="000B2903">
        <w:rPr>
          <w:rFonts w:ascii="Palatino Linotype" w:hAnsi="Palatino Linotype"/>
        </w:rPr>
        <w:t xml:space="preserve"> de la Ley de Transparencia y Acceso a la Información Pública del Estado de México y Municipios</w:t>
      </w:r>
      <w:r w:rsidR="00285CD1">
        <w:rPr>
          <w:rFonts w:ascii="Palatino Linotype" w:hAnsi="Palatino Linotype"/>
        </w:rPr>
        <w:t>,</w:t>
      </w:r>
      <w:r w:rsidR="008C77DB" w:rsidRPr="000B2903">
        <w:rPr>
          <w:rFonts w:ascii="Palatino Linotype" w:hAnsi="Palatino Linotype"/>
        </w:rPr>
        <w:t xml:space="preserve"> </w:t>
      </w:r>
      <w:r w:rsidR="008C77DB" w:rsidRPr="008C77DB">
        <w:rPr>
          <w:rFonts w:ascii="Palatino Linotype" w:hAnsi="Palatino Linotype"/>
          <w:b/>
        </w:rPr>
        <w:t>EL SUJETO OBLIGADO</w:t>
      </w:r>
      <w:r w:rsidR="008C77DB" w:rsidRPr="000B2903">
        <w:rPr>
          <w:rFonts w:ascii="Palatino Linotype" w:hAnsi="Palatino Linotype"/>
        </w:rPr>
        <w:t xml:space="preserve"> sólo proporcionará la información que obra en sus archivos, lo que a</w:t>
      </w:r>
      <w:r w:rsidR="008C77DB" w:rsidRPr="000B2903">
        <w:rPr>
          <w:rFonts w:ascii="Palatino Linotype" w:hAnsi="Palatino Linotype"/>
          <w:i/>
        </w:rPr>
        <w:t xml:space="preserve"> contrario sensu</w:t>
      </w:r>
      <w:r w:rsidR="008C77DB" w:rsidRPr="000B2903">
        <w:rPr>
          <w:rFonts w:ascii="Palatino Linotype" w:hAnsi="Palatino Linotype"/>
        </w:rPr>
        <w:t xml:space="preserve"> significa que no se está obligado a proporciona</w:t>
      </w:r>
      <w:r w:rsidR="008E247D">
        <w:rPr>
          <w:rFonts w:ascii="Palatino Linotype" w:hAnsi="Palatino Linotype"/>
        </w:rPr>
        <w:t>r lo que no obre en los mismos</w:t>
      </w:r>
      <w:r w:rsidR="008C77DB">
        <w:rPr>
          <w:rFonts w:ascii="Palatino Linotype" w:hAnsi="Palatino Linotype"/>
        </w:rPr>
        <w:t>.</w:t>
      </w:r>
    </w:p>
    <w:p w:rsidR="00334797" w:rsidRDefault="00334797" w:rsidP="00A23390">
      <w:pPr>
        <w:autoSpaceDE w:val="0"/>
        <w:autoSpaceDN w:val="0"/>
        <w:adjustRightInd w:val="0"/>
        <w:spacing w:before="100" w:beforeAutospacing="1" w:after="100" w:afterAutospacing="1" w:line="360" w:lineRule="auto"/>
        <w:ind w:right="18"/>
        <w:jc w:val="both"/>
        <w:rPr>
          <w:rFonts w:ascii="Palatino Linotype" w:hAnsi="Palatino Linotype"/>
          <w:szCs w:val="22"/>
        </w:rPr>
      </w:pPr>
      <w:r>
        <w:rPr>
          <w:rFonts w:ascii="Palatino Linotype" w:hAnsi="Palatino Linotype"/>
        </w:rPr>
        <w:t xml:space="preserve">Asimismo, no se comparte lo que se ordena </w:t>
      </w:r>
      <w:r w:rsidR="00D22435">
        <w:rPr>
          <w:rFonts w:ascii="Palatino Linotype" w:hAnsi="Palatino Linotype"/>
        </w:rPr>
        <w:t xml:space="preserve">en el punto 1 en razón de que </w:t>
      </w:r>
      <w:r w:rsidR="00D22435" w:rsidRPr="00D22435">
        <w:rPr>
          <w:rFonts w:ascii="Palatino Linotype" w:hAnsi="Palatino Linotype"/>
          <w:b/>
        </w:rPr>
        <w:t>EL SUJETO OBLIGADO</w:t>
      </w:r>
      <w:r w:rsidR="00D22435">
        <w:rPr>
          <w:rFonts w:ascii="Palatino Linotype" w:hAnsi="Palatino Linotype"/>
          <w:b/>
        </w:rPr>
        <w:t xml:space="preserve"> </w:t>
      </w:r>
      <w:r w:rsidR="00D22435">
        <w:rPr>
          <w:rFonts w:ascii="Palatino Linotype" w:hAnsi="Palatino Linotype"/>
        </w:rPr>
        <w:t xml:space="preserve">ya se pronunció y refirió que de los $10, 000,000 solo se pagó el anticipo por la cantidad </w:t>
      </w:r>
      <w:r w:rsidR="00D22435" w:rsidRPr="00B06415">
        <w:rPr>
          <w:rFonts w:ascii="Palatino Linotype" w:hAnsi="Palatino Linotype"/>
          <w:szCs w:val="22"/>
        </w:rPr>
        <w:t xml:space="preserve">de </w:t>
      </w:r>
      <w:r w:rsidR="00D22435">
        <w:rPr>
          <w:rFonts w:ascii="Palatino Linotype" w:hAnsi="Palatino Linotype"/>
          <w:szCs w:val="22"/>
        </w:rPr>
        <w:t>$</w:t>
      </w:r>
      <w:r w:rsidR="00D22435" w:rsidRPr="00B06415">
        <w:rPr>
          <w:rFonts w:ascii="Palatino Linotype" w:hAnsi="Palatino Linotype"/>
          <w:szCs w:val="22"/>
        </w:rPr>
        <w:t>2'998,850.32 (IVA incluido), quedando una diferencia por la cantidad de $6'997,317.42, considerado en el POA</w:t>
      </w:r>
      <w:r w:rsidR="00BE0D37">
        <w:rPr>
          <w:rFonts w:ascii="Palatino Linotype" w:hAnsi="Palatino Linotype"/>
          <w:szCs w:val="22"/>
        </w:rPr>
        <w:t>, es decir, el Programa Operativo Anual</w:t>
      </w:r>
      <w:r w:rsidR="00D22435" w:rsidRPr="00B06415">
        <w:rPr>
          <w:rFonts w:ascii="Palatino Linotype" w:hAnsi="Palatino Linotype"/>
          <w:szCs w:val="22"/>
        </w:rPr>
        <w:t xml:space="preserve"> del ejercicio fiscal 2015 para dicha obra</w:t>
      </w:r>
      <w:r w:rsidR="00D22435">
        <w:rPr>
          <w:rFonts w:ascii="Palatino Linotype" w:hAnsi="Palatino Linotype"/>
          <w:szCs w:val="22"/>
        </w:rPr>
        <w:t xml:space="preserve">, es así que al ordenar la entrega del documento en donde conste que no se ejerció dicha cantidad, es un hecho negativo además de que se </w:t>
      </w:r>
      <w:r w:rsidR="00BE0D37">
        <w:rPr>
          <w:rFonts w:ascii="Palatino Linotype" w:hAnsi="Palatino Linotype"/>
          <w:szCs w:val="22"/>
        </w:rPr>
        <w:t>estaría</w:t>
      </w:r>
      <w:r w:rsidR="00860A7E">
        <w:rPr>
          <w:rFonts w:ascii="Palatino Linotype" w:hAnsi="Palatino Linotype"/>
          <w:szCs w:val="22"/>
        </w:rPr>
        <w:t xml:space="preserve"> dudando de la veracidad de la información</w:t>
      </w:r>
      <w:r w:rsidR="00BE0D37">
        <w:rPr>
          <w:rFonts w:ascii="Palatino Linotype" w:hAnsi="Palatino Linotype"/>
          <w:szCs w:val="22"/>
        </w:rPr>
        <w:t xml:space="preserve"> proporcionada</w:t>
      </w:r>
      <w:r w:rsidR="00860A7E">
        <w:rPr>
          <w:rFonts w:ascii="Palatino Linotype" w:hAnsi="Palatino Linotype"/>
          <w:szCs w:val="22"/>
        </w:rPr>
        <w:t>.</w:t>
      </w:r>
    </w:p>
    <w:p w:rsidR="00860A7E" w:rsidRPr="003169F5" w:rsidRDefault="00860A7E" w:rsidP="00860A7E">
      <w:pPr>
        <w:spacing w:line="276" w:lineRule="auto"/>
        <w:ind w:left="709" w:right="758"/>
        <w:jc w:val="both"/>
        <w:rPr>
          <w:rFonts w:ascii="Palatino Linotype" w:hAnsi="Palatino Linotype"/>
          <w:b/>
          <w:i/>
          <w:sz w:val="22"/>
        </w:rPr>
      </w:pPr>
      <w:r w:rsidRPr="003169F5">
        <w:rPr>
          <w:rFonts w:ascii="Palatino Linotype" w:hAnsi="Palatino Linotype"/>
          <w:b/>
          <w:i/>
          <w:sz w:val="22"/>
        </w:rPr>
        <w:t xml:space="preserve">HECHOS NEGATIVOS, NO SON SUSCEPTIBLES DE DEMOSTRACIÓN. </w:t>
      </w:r>
    </w:p>
    <w:p w:rsidR="00860A7E" w:rsidRPr="003169F5" w:rsidRDefault="00860A7E" w:rsidP="00860A7E">
      <w:pPr>
        <w:spacing w:line="276" w:lineRule="auto"/>
        <w:ind w:left="709" w:right="758"/>
        <w:jc w:val="both"/>
        <w:rPr>
          <w:rFonts w:ascii="Palatino Linotype" w:hAnsi="Palatino Linotype"/>
          <w:i/>
          <w:sz w:val="22"/>
        </w:rPr>
      </w:pPr>
      <w:r w:rsidRPr="003169F5">
        <w:rPr>
          <w:rFonts w:ascii="Palatino Linotype" w:hAnsi="Palatino Linotype"/>
          <w:i/>
          <w:sz w:val="22"/>
        </w:rPr>
        <w:t xml:space="preserve">Tratándose de un hecho negativo, el Juez no tiene </w:t>
      </w:r>
      <w:proofErr w:type="spellStart"/>
      <w:r w:rsidRPr="003169F5">
        <w:rPr>
          <w:rFonts w:ascii="Palatino Linotype" w:hAnsi="Palatino Linotype"/>
          <w:i/>
          <w:sz w:val="22"/>
        </w:rPr>
        <w:t>por que</w:t>
      </w:r>
      <w:proofErr w:type="spellEnd"/>
      <w:r w:rsidRPr="003169F5">
        <w:rPr>
          <w:rFonts w:ascii="Palatino Linotype" w:hAnsi="Palatino Linotype"/>
          <w:i/>
          <w:sz w:val="22"/>
        </w:rPr>
        <w:t xml:space="preserve"> invocar prueba alguna de la que se desprenda, ya que es bien sabido que esta clase de hechos no son susceptibles de demostración.</w:t>
      </w:r>
    </w:p>
    <w:p w:rsidR="00860A7E" w:rsidRDefault="00860A7E" w:rsidP="00860A7E">
      <w:pPr>
        <w:spacing w:before="240" w:after="240" w:line="360" w:lineRule="auto"/>
        <w:ind w:left="709" w:right="757"/>
        <w:jc w:val="both"/>
        <w:rPr>
          <w:rFonts w:ascii="Palatino Linotype" w:eastAsia="Calibri" w:hAnsi="Palatino Linotype" w:cs="Arial"/>
        </w:rPr>
      </w:pPr>
      <w:r w:rsidRPr="003169F5">
        <w:rPr>
          <w:rFonts w:ascii="Palatino Linotype" w:hAnsi="Palatino Linotype"/>
          <w:i/>
          <w:sz w:val="22"/>
        </w:rPr>
        <w:t>Amparo en revisión 2022/61. José García Florín (Menor). 9 de octubre de 1961. Cinco votos. Ponente: José Rivera Pérez Campos.”</w:t>
      </w:r>
      <w:r w:rsidRPr="00287848">
        <w:rPr>
          <w:rFonts w:ascii="Palatino Linotype" w:eastAsia="Calibri" w:hAnsi="Palatino Linotype" w:cs="Arial"/>
        </w:rPr>
        <w:t>.</w:t>
      </w:r>
    </w:p>
    <w:p w:rsidR="00860A7E" w:rsidRPr="00D22435" w:rsidRDefault="00860A7E" w:rsidP="00A23390">
      <w:pPr>
        <w:autoSpaceDE w:val="0"/>
        <w:autoSpaceDN w:val="0"/>
        <w:adjustRightInd w:val="0"/>
        <w:spacing w:before="100" w:beforeAutospacing="1" w:after="100" w:afterAutospacing="1" w:line="360" w:lineRule="auto"/>
        <w:ind w:right="18"/>
        <w:jc w:val="both"/>
        <w:rPr>
          <w:rFonts w:ascii="Palatino Linotype" w:hAnsi="Palatino Linotype"/>
        </w:rPr>
      </w:pPr>
    </w:p>
    <w:p w:rsidR="00E15CE2" w:rsidRPr="00C8035B" w:rsidRDefault="0050629D" w:rsidP="0050629D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Atento a lo expuesto, la que suscribe emite </w:t>
      </w:r>
      <w:r w:rsidRPr="003031E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>, pues se insiste que la Ley de Transparencia y Acceso a la Información Pública del Estado de México y Municipios no faculta a este Instituto para ordenar que los</w:t>
      </w:r>
      <w:r w:rsidRPr="00A25BC3">
        <w:rPr>
          <w:rFonts w:ascii="Palatino Linotype" w:hAnsi="Palatino Linotype" w:cs="Arial"/>
          <w:b/>
        </w:rPr>
        <w:t xml:space="preserve"> </w:t>
      </w:r>
      <w:r w:rsidRPr="00011B22">
        <w:rPr>
          <w:rFonts w:ascii="Palatino Linotype" w:hAnsi="Palatino Linotype" w:cs="Arial"/>
        </w:rPr>
        <w:t>Sujeto</w:t>
      </w:r>
      <w:r>
        <w:rPr>
          <w:rFonts w:ascii="Palatino Linotype" w:hAnsi="Palatino Linotype" w:cs="Arial"/>
        </w:rPr>
        <w:t>s</w:t>
      </w:r>
      <w:r w:rsidRPr="00011B22">
        <w:rPr>
          <w:rFonts w:ascii="Palatino Linotype" w:hAnsi="Palatino Linotype" w:cs="Arial"/>
        </w:rPr>
        <w:t xml:space="preserve"> Obligado</w:t>
      </w:r>
      <w:r>
        <w:rPr>
          <w:rFonts w:ascii="Palatino Linotype" w:hAnsi="Palatino Linotype" w:cs="Arial"/>
        </w:rPr>
        <w:t>s</w:t>
      </w:r>
      <w:r w:rsidRPr="00011B22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motiven las causas por las que no se generó la información si dicho acto o </w:t>
      </w:r>
      <w:r w:rsidR="008E247D">
        <w:rPr>
          <w:rFonts w:ascii="Palatino Linotype" w:hAnsi="Palatino Linotype" w:cs="Arial"/>
        </w:rPr>
        <w:t>hecho no aconteció</w:t>
      </w:r>
      <w:r w:rsidR="0051657D">
        <w:rPr>
          <w:rFonts w:ascii="Palatino Linotype" w:hAnsi="Palatino Linotype" w:cs="Arial"/>
        </w:rPr>
        <w:t>, al igual que al ordenar el punto 1 del resolutivo SEGUNDO se está dudando de la veracidad de la información remitida</w:t>
      </w:r>
      <w:r>
        <w:rPr>
          <w:rFonts w:ascii="Palatino Linotype" w:hAnsi="Palatino Linotype" w:cs="Arial"/>
        </w:rPr>
        <w:t xml:space="preserve">. 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C8035B">
        <w:trPr>
          <w:jc w:val="center"/>
        </w:trPr>
        <w:tc>
          <w:tcPr>
            <w:tcW w:w="4393" w:type="dxa"/>
          </w:tcPr>
          <w:p w:rsidR="00837742" w:rsidRDefault="00837742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</w:rPr>
            </w:pPr>
          </w:p>
          <w:p w:rsidR="00860A7E" w:rsidRDefault="00860A7E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</w:rPr>
            </w:pPr>
          </w:p>
          <w:p w:rsidR="00B26BC4" w:rsidRDefault="00B26BC4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</w:rPr>
            </w:pPr>
          </w:p>
          <w:p w:rsidR="00B26BC4" w:rsidRDefault="00B26BC4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</w:rPr>
            </w:pPr>
          </w:p>
          <w:p w:rsidR="00860A7E" w:rsidRDefault="00860A7E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</w:rPr>
            </w:pPr>
          </w:p>
          <w:p w:rsidR="00860A7E" w:rsidRPr="00C8035B" w:rsidRDefault="00860A7E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</w:p>
          <w:p w:rsidR="009701AB" w:rsidRPr="00C8035B" w:rsidRDefault="009701AB" w:rsidP="00837742">
            <w:pPr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EVA ABAID YAPUR</w:t>
            </w:r>
          </w:p>
          <w:p w:rsidR="009701AB" w:rsidRDefault="009701AB" w:rsidP="00B26BC4">
            <w:pPr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COMISIONADA</w:t>
            </w:r>
          </w:p>
          <w:p w:rsidR="001B7D8F" w:rsidRPr="00C8035B" w:rsidRDefault="001B7D8F" w:rsidP="00B26BC4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860A7E" w:rsidRDefault="00860A7E" w:rsidP="00A2339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860A7E" w:rsidRDefault="00860A7E" w:rsidP="00A2339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860A7E" w:rsidRDefault="00860A7E" w:rsidP="00A2339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1D1338" w:rsidRDefault="009701AB" w:rsidP="00B26BC4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A23390"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particular emitido en la resolución del</w:t>
      </w:r>
      <w:r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860A7E"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>3318</w:t>
      </w:r>
      <w:r w:rsidR="00F27F5C"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>INFOEM/IP/RR/201</w:t>
      </w:r>
      <w:r w:rsidR="00FD3B8E"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>8</w:t>
      </w:r>
      <w:r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aprobado el</w:t>
      </w:r>
      <w:r w:rsidR="00101AC9"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860A7E"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>treinta y uno de octubre</w:t>
      </w:r>
      <w:r w:rsidR="001B2882"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dieciocho</w:t>
      </w:r>
      <w:r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B26BC4" w:rsidRPr="00B26BC4" w:rsidRDefault="00B26BC4" w:rsidP="00B26BC4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20"/>
        </w:rPr>
      </w:pPr>
    </w:p>
    <w:p w:rsidR="00DC5C4E" w:rsidRPr="00B26BC4" w:rsidRDefault="009701AB" w:rsidP="00B26BC4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1B2882" w:rsidRPr="00B26BC4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DC5C4E" w:rsidRPr="00B26BC4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0B" w:rsidRDefault="00422E0B" w:rsidP="00E41B3B">
      <w:r>
        <w:separator/>
      </w:r>
    </w:p>
  </w:endnote>
  <w:endnote w:type="continuationSeparator" w:id="0">
    <w:p w:rsidR="00422E0B" w:rsidRDefault="00422E0B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B7D8F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B7D8F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0B" w:rsidRDefault="00422E0B" w:rsidP="00E41B3B">
      <w:r>
        <w:separator/>
      </w:r>
    </w:p>
  </w:footnote>
  <w:footnote w:type="continuationSeparator" w:id="0">
    <w:p w:rsidR="00422E0B" w:rsidRDefault="00422E0B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B7D8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5779CE">
      <w:rPr>
        <w:rFonts w:ascii="Palatino Linotype" w:hAnsi="Palatino Linotype" w:cs="Arial"/>
        <w:sz w:val="20"/>
        <w:szCs w:val="20"/>
      </w:rPr>
      <w:t>0</w:t>
    </w:r>
    <w:r w:rsidR="00990133">
      <w:rPr>
        <w:rFonts w:ascii="Palatino Linotype" w:hAnsi="Palatino Linotype" w:cs="Arial"/>
        <w:sz w:val="20"/>
        <w:szCs w:val="20"/>
      </w:rPr>
      <w:t>3318</w:t>
    </w:r>
    <w:r w:rsidR="00C8035B">
      <w:rPr>
        <w:rFonts w:ascii="Palatino Linotype" w:hAnsi="Palatino Linotype" w:cs="Arial"/>
        <w:sz w:val="20"/>
        <w:szCs w:val="20"/>
      </w:rPr>
      <w:t>/</w:t>
    </w:r>
    <w:r>
      <w:rPr>
        <w:rFonts w:ascii="Palatino Linotype" w:hAnsi="Palatino Linotype" w:cs="Arial"/>
        <w:sz w:val="20"/>
        <w:szCs w:val="20"/>
      </w:rPr>
      <w:t>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5779CE">
      <w:rPr>
        <w:rFonts w:ascii="Palatino Linotype" w:hAnsi="Palatino Linotype" w:cs="Arial"/>
        <w:sz w:val="20"/>
        <w:szCs w:val="20"/>
      </w:rPr>
      <w:t>8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1B7D8F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75.4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1B7D8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D55FB"/>
    <w:multiLevelType w:val="hybridMultilevel"/>
    <w:tmpl w:val="8070B43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163BB7"/>
    <w:multiLevelType w:val="hybridMultilevel"/>
    <w:tmpl w:val="1166C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6109"/>
    <w:rsid w:val="000450C7"/>
    <w:rsid w:val="000471FB"/>
    <w:rsid w:val="00055DA2"/>
    <w:rsid w:val="00072E9A"/>
    <w:rsid w:val="00080305"/>
    <w:rsid w:val="00090AAC"/>
    <w:rsid w:val="000B082F"/>
    <w:rsid w:val="00101AC9"/>
    <w:rsid w:val="00106889"/>
    <w:rsid w:val="00122242"/>
    <w:rsid w:val="00141D1C"/>
    <w:rsid w:val="00146755"/>
    <w:rsid w:val="00164D8A"/>
    <w:rsid w:val="00174F2A"/>
    <w:rsid w:val="0019398B"/>
    <w:rsid w:val="001A7CEE"/>
    <w:rsid w:val="001B2882"/>
    <w:rsid w:val="001B45FD"/>
    <w:rsid w:val="001B7D8F"/>
    <w:rsid w:val="001C07DF"/>
    <w:rsid w:val="001C3DCD"/>
    <w:rsid w:val="001D1338"/>
    <w:rsid w:val="001D69FC"/>
    <w:rsid w:val="001F2929"/>
    <w:rsid w:val="00216380"/>
    <w:rsid w:val="00236809"/>
    <w:rsid w:val="00270A69"/>
    <w:rsid w:val="00283E0B"/>
    <w:rsid w:val="00285CD1"/>
    <w:rsid w:val="00296C85"/>
    <w:rsid w:val="002C0E50"/>
    <w:rsid w:val="002C638A"/>
    <w:rsid w:val="0031149D"/>
    <w:rsid w:val="00313B93"/>
    <w:rsid w:val="003146AF"/>
    <w:rsid w:val="00324EBE"/>
    <w:rsid w:val="00331502"/>
    <w:rsid w:val="00332399"/>
    <w:rsid w:val="003343CD"/>
    <w:rsid w:val="00334797"/>
    <w:rsid w:val="00343A89"/>
    <w:rsid w:val="003948FF"/>
    <w:rsid w:val="003A1BFA"/>
    <w:rsid w:val="003C2F6A"/>
    <w:rsid w:val="003C6346"/>
    <w:rsid w:val="003E17C7"/>
    <w:rsid w:val="00420511"/>
    <w:rsid w:val="00422E0B"/>
    <w:rsid w:val="0043533A"/>
    <w:rsid w:val="00437359"/>
    <w:rsid w:val="00440036"/>
    <w:rsid w:val="00446B28"/>
    <w:rsid w:val="00463114"/>
    <w:rsid w:val="00463EE4"/>
    <w:rsid w:val="0046519A"/>
    <w:rsid w:val="004769EB"/>
    <w:rsid w:val="0048207E"/>
    <w:rsid w:val="0048476A"/>
    <w:rsid w:val="004C16FA"/>
    <w:rsid w:val="004D5A29"/>
    <w:rsid w:val="004E6C48"/>
    <w:rsid w:val="004F667F"/>
    <w:rsid w:val="0050629D"/>
    <w:rsid w:val="0051657D"/>
    <w:rsid w:val="0053148C"/>
    <w:rsid w:val="00537CDD"/>
    <w:rsid w:val="005779CE"/>
    <w:rsid w:val="005A4D7F"/>
    <w:rsid w:val="005C7C8F"/>
    <w:rsid w:val="005F3E71"/>
    <w:rsid w:val="00641735"/>
    <w:rsid w:val="0065035B"/>
    <w:rsid w:val="00654FE9"/>
    <w:rsid w:val="00661AD1"/>
    <w:rsid w:val="00672FC7"/>
    <w:rsid w:val="00674942"/>
    <w:rsid w:val="00674996"/>
    <w:rsid w:val="006801D4"/>
    <w:rsid w:val="00697966"/>
    <w:rsid w:val="006A1C64"/>
    <w:rsid w:val="006B109D"/>
    <w:rsid w:val="006B30CD"/>
    <w:rsid w:val="006D2575"/>
    <w:rsid w:val="00702D24"/>
    <w:rsid w:val="00712C80"/>
    <w:rsid w:val="00713C4A"/>
    <w:rsid w:val="007170C1"/>
    <w:rsid w:val="00725B3B"/>
    <w:rsid w:val="00733C54"/>
    <w:rsid w:val="00734D98"/>
    <w:rsid w:val="00756313"/>
    <w:rsid w:val="00767B65"/>
    <w:rsid w:val="00773942"/>
    <w:rsid w:val="00775408"/>
    <w:rsid w:val="007B06E6"/>
    <w:rsid w:val="007C3451"/>
    <w:rsid w:val="007C7A0C"/>
    <w:rsid w:val="00811B0B"/>
    <w:rsid w:val="00817572"/>
    <w:rsid w:val="00820D1B"/>
    <w:rsid w:val="00837742"/>
    <w:rsid w:val="00842E34"/>
    <w:rsid w:val="00853753"/>
    <w:rsid w:val="008542C4"/>
    <w:rsid w:val="00860A7E"/>
    <w:rsid w:val="00864D3F"/>
    <w:rsid w:val="00880DC2"/>
    <w:rsid w:val="00892096"/>
    <w:rsid w:val="008A35FA"/>
    <w:rsid w:val="008B0732"/>
    <w:rsid w:val="008B22AB"/>
    <w:rsid w:val="008B70AA"/>
    <w:rsid w:val="008C16DF"/>
    <w:rsid w:val="008C77DB"/>
    <w:rsid w:val="008D33A8"/>
    <w:rsid w:val="008E247D"/>
    <w:rsid w:val="008E5C82"/>
    <w:rsid w:val="008F34EF"/>
    <w:rsid w:val="0090759F"/>
    <w:rsid w:val="00914A00"/>
    <w:rsid w:val="00921F51"/>
    <w:rsid w:val="00933CDC"/>
    <w:rsid w:val="009701AB"/>
    <w:rsid w:val="00972394"/>
    <w:rsid w:val="00990133"/>
    <w:rsid w:val="00990B93"/>
    <w:rsid w:val="009B3920"/>
    <w:rsid w:val="009B519C"/>
    <w:rsid w:val="009D1CB5"/>
    <w:rsid w:val="00A10D54"/>
    <w:rsid w:val="00A11081"/>
    <w:rsid w:val="00A23390"/>
    <w:rsid w:val="00A502D2"/>
    <w:rsid w:val="00A66652"/>
    <w:rsid w:val="00A956B4"/>
    <w:rsid w:val="00A96975"/>
    <w:rsid w:val="00A97455"/>
    <w:rsid w:val="00AB0719"/>
    <w:rsid w:val="00AE18DA"/>
    <w:rsid w:val="00AE2899"/>
    <w:rsid w:val="00AE7810"/>
    <w:rsid w:val="00AF78ED"/>
    <w:rsid w:val="00B17086"/>
    <w:rsid w:val="00B26BC4"/>
    <w:rsid w:val="00B31030"/>
    <w:rsid w:val="00B51260"/>
    <w:rsid w:val="00B64194"/>
    <w:rsid w:val="00B716F8"/>
    <w:rsid w:val="00BA339A"/>
    <w:rsid w:val="00BB16EC"/>
    <w:rsid w:val="00BC3DF4"/>
    <w:rsid w:val="00BC6CF8"/>
    <w:rsid w:val="00BE0D37"/>
    <w:rsid w:val="00C07CE2"/>
    <w:rsid w:val="00C33AE1"/>
    <w:rsid w:val="00C52D7C"/>
    <w:rsid w:val="00C60EC0"/>
    <w:rsid w:val="00C71384"/>
    <w:rsid w:val="00C8035B"/>
    <w:rsid w:val="00CB71BF"/>
    <w:rsid w:val="00CC4E44"/>
    <w:rsid w:val="00CD7154"/>
    <w:rsid w:val="00CE0D21"/>
    <w:rsid w:val="00CE1537"/>
    <w:rsid w:val="00CE70C8"/>
    <w:rsid w:val="00D0171B"/>
    <w:rsid w:val="00D06010"/>
    <w:rsid w:val="00D107F9"/>
    <w:rsid w:val="00D22435"/>
    <w:rsid w:val="00D22D52"/>
    <w:rsid w:val="00D25BD2"/>
    <w:rsid w:val="00D724F4"/>
    <w:rsid w:val="00DC0116"/>
    <w:rsid w:val="00DC41B0"/>
    <w:rsid w:val="00DC5065"/>
    <w:rsid w:val="00DC5C4E"/>
    <w:rsid w:val="00DC6C4E"/>
    <w:rsid w:val="00DF4164"/>
    <w:rsid w:val="00E15CE2"/>
    <w:rsid w:val="00E20B21"/>
    <w:rsid w:val="00E34AE6"/>
    <w:rsid w:val="00E415A4"/>
    <w:rsid w:val="00E41B3B"/>
    <w:rsid w:val="00E441F3"/>
    <w:rsid w:val="00E55769"/>
    <w:rsid w:val="00E77C64"/>
    <w:rsid w:val="00ED3750"/>
    <w:rsid w:val="00ED78BB"/>
    <w:rsid w:val="00EF3885"/>
    <w:rsid w:val="00F04176"/>
    <w:rsid w:val="00F161E3"/>
    <w:rsid w:val="00F26150"/>
    <w:rsid w:val="00F27F5C"/>
    <w:rsid w:val="00F4326E"/>
    <w:rsid w:val="00F50C10"/>
    <w:rsid w:val="00F64CC1"/>
    <w:rsid w:val="00F67EA5"/>
    <w:rsid w:val="00F67FFB"/>
    <w:rsid w:val="00F9070F"/>
    <w:rsid w:val="00FA0BF5"/>
    <w:rsid w:val="00FA46A6"/>
    <w:rsid w:val="00FC2815"/>
    <w:rsid w:val="00FD3B8E"/>
    <w:rsid w:val="00FF0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E15C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15CE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A71F-811D-4128-B58C-81EF477C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6</cp:revision>
  <cp:lastPrinted>2018-11-06T19:00:00Z</cp:lastPrinted>
  <dcterms:created xsi:type="dcterms:W3CDTF">2018-11-05T22:57:00Z</dcterms:created>
  <dcterms:modified xsi:type="dcterms:W3CDTF">2018-11-22T00:46:00Z</dcterms:modified>
</cp:coreProperties>
</file>